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00" w:type="dxa"/>
        <w:tblInd w:w="0" w:type="dxa"/>
        <w:tblLook w:val="04A0" w:firstRow="1" w:lastRow="0" w:firstColumn="1" w:lastColumn="0" w:noHBand="0" w:noVBand="1"/>
      </w:tblPr>
      <w:tblGrid>
        <w:gridCol w:w="3404"/>
        <w:gridCol w:w="5296"/>
      </w:tblGrid>
      <w:tr w:rsidR="0047375C" w14:paraId="6D8E5F59" w14:textId="77777777" w:rsidTr="00121EC8">
        <w:trPr>
          <w:trHeight w:val="27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395BB91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249A010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Bioceramics</w:t>
            </w:r>
            <w:proofErr w:type="spellEnd"/>
            <w:r>
              <w:t xml:space="preserve"> </w:t>
            </w:r>
          </w:p>
        </w:tc>
      </w:tr>
      <w:tr w:rsidR="00121EC8" w:rsidRPr="007071F7" w14:paraId="522910CB" w14:textId="77777777" w:rsidTr="00121EC8">
        <w:trPr>
          <w:trHeight w:val="58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9ECDBDC" w14:textId="77777777" w:rsidR="00121EC8" w:rsidRDefault="00121EC8" w:rsidP="00121EC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Institute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Division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EBB4A95" w14:textId="26637B13" w:rsidR="00121EC8" w:rsidRPr="007D4704" w:rsidRDefault="00121EC8" w:rsidP="00121EC8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Chair</w:t>
            </w:r>
            <w:r w:rsidRPr="007D4704">
              <w:rPr>
                <w:lang w:val="en-US"/>
              </w:rPr>
              <w:t xml:space="preserve"> of Material Engineering, Faculty of Material Engineering and Physics </w:t>
            </w:r>
          </w:p>
        </w:tc>
      </w:tr>
      <w:tr w:rsidR="00121EC8" w14:paraId="7323BDAC" w14:textId="77777777" w:rsidTr="00121EC8">
        <w:trPr>
          <w:trHeight w:val="28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C760D59" w14:textId="77777777" w:rsidR="00121EC8" w:rsidRDefault="00121EC8" w:rsidP="00121EC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:</w:t>
            </w:r>
            <w:r>
              <w:t xml:space="preserve">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27EABB64" w14:textId="715B81F4" w:rsidR="00121EC8" w:rsidRDefault="00121EC8" w:rsidP="00121EC8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</w:p>
        </w:tc>
      </w:tr>
      <w:tr w:rsidR="00121EC8" w14:paraId="449118E8" w14:textId="77777777" w:rsidTr="00121EC8">
        <w:trPr>
          <w:trHeight w:val="29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D30613A" w14:textId="77777777" w:rsidR="00121EC8" w:rsidRDefault="00121EC8" w:rsidP="00121EC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duration</w:t>
            </w:r>
            <w:proofErr w:type="spellEnd"/>
            <w:r>
              <w:rPr>
                <w:b/>
              </w:rPr>
              <w:t>:</w:t>
            </w:r>
            <w:r>
              <w:t xml:space="preserve">          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040EBDB9" w14:textId="77777777" w:rsidR="00121EC8" w:rsidRDefault="00121EC8" w:rsidP="00121EC8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semester</w:t>
            </w:r>
            <w:proofErr w:type="spellEnd"/>
            <w:r>
              <w:t xml:space="preserve">  </w:t>
            </w:r>
          </w:p>
        </w:tc>
      </w:tr>
      <w:tr w:rsidR="00121EC8" w14:paraId="2701D8BD" w14:textId="77777777" w:rsidTr="00121EC8">
        <w:trPr>
          <w:trHeight w:val="26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D7546B0" w14:textId="77777777" w:rsidR="00121EC8" w:rsidRDefault="00121EC8" w:rsidP="00121EC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ECTS </w:t>
            </w:r>
            <w:proofErr w:type="spellStart"/>
            <w:r>
              <w:rPr>
                <w:b/>
              </w:rPr>
              <w:t>credits</w:t>
            </w:r>
            <w:proofErr w:type="spellEnd"/>
            <w:r>
              <w:rPr>
                <w:b/>
              </w:rPr>
              <w:t>:</w:t>
            </w:r>
            <w:r>
              <w:t xml:space="preserve">               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67258F93" w14:textId="03C7C94C" w:rsidR="00121EC8" w:rsidRDefault="00121EC8" w:rsidP="00121EC8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</w:tbl>
    <w:p w14:paraId="0CE49870" w14:textId="77777777" w:rsidR="0047375C" w:rsidRDefault="005C2D19">
      <w:pPr>
        <w:tabs>
          <w:tab w:val="center" w:pos="2833"/>
        </w:tabs>
        <w:spacing w:after="30" w:line="259" w:lineRule="auto"/>
        <w:ind w:left="-15" w:firstLine="0"/>
        <w:jc w:val="left"/>
      </w:pPr>
      <w:r>
        <w:rPr>
          <w:b/>
        </w:rPr>
        <w:t xml:space="preserve">Course </w:t>
      </w:r>
      <w:proofErr w:type="spellStart"/>
      <w:r>
        <w:rPr>
          <w:b/>
        </w:rPr>
        <w:t>description</w:t>
      </w:r>
      <w:proofErr w:type="spellEnd"/>
      <w:r>
        <w:rPr>
          <w:b/>
        </w:rPr>
        <w:t xml:space="preserve">:  </w:t>
      </w:r>
      <w:r>
        <w:rPr>
          <w:b/>
        </w:rPr>
        <w:tab/>
        <w:t xml:space="preserve"> </w:t>
      </w:r>
    </w:p>
    <w:p w14:paraId="38B8C8FE" w14:textId="77777777" w:rsidR="0047375C" w:rsidRPr="007D4704" w:rsidRDefault="005C2D19">
      <w:pPr>
        <w:rPr>
          <w:lang w:val="en-US"/>
        </w:rPr>
      </w:pPr>
      <w:r w:rsidRPr="007D4704">
        <w:rPr>
          <w:lang w:val="en-US"/>
        </w:rPr>
        <w:t xml:space="preserve">This course gives the knowledge of basic properties of ceramics, including biocompatibility and bio-functionality, information about basic methods of testing </w:t>
      </w:r>
      <w:proofErr w:type="spellStart"/>
      <w:r w:rsidRPr="007D4704">
        <w:rPr>
          <w:lang w:val="en-US"/>
        </w:rPr>
        <w:t>bioceramics</w:t>
      </w:r>
      <w:proofErr w:type="spellEnd"/>
      <w:r w:rsidRPr="007D4704">
        <w:rPr>
          <w:lang w:val="en-US"/>
        </w:rPr>
        <w:t xml:space="preserve"> material and various applications of ceramic materials in the medical field. </w:t>
      </w:r>
    </w:p>
    <w:p w14:paraId="24039CFB" w14:textId="77777777" w:rsidR="0047375C" w:rsidRDefault="005C2D19">
      <w:proofErr w:type="spellStart"/>
      <w:r>
        <w:t>Topics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  </w:t>
      </w:r>
    </w:p>
    <w:p w14:paraId="39AA0175" w14:textId="77777777" w:rsidR="0047375C" w:rsidRDefault="005C2D19">
      <w:pPr>
        <w:numPr>
          <w:ilvl w:val="0"/>
          <w:numId w:val="1"/>
        </w:numPr>
        <w:ind w:hanging="360"/>
      </w:pPr>
      <w:r>
        <w:t xml:space="preserve">Fundamentals of </w:t>
      </w:r>
      <w:proofErr w:type="spellStart"/>
      <w:r>
        <w:t>bio-ceramics</w:t>
      </w:r>
      <w:proofErr w:type="spellEnd"/>
      <w:r>
        <w:t xml:space="preserve"> </w:t>
      </w:r>
    </w:p>
    <w:p w14:paraId="4A06A8CA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Ceramics</w:t>
      </w:r>
      <w:proofErr w:type="spellEnd"/>
      <w:r>
        <w:t xml:space="preserve"> as </w:t>
      </w:r>
      <w:proofErr w:type="spellStart"/>
      <w:r>
        <w:t>biomaterials</w:t>
      </w:r>
      <w:proofErr w:type="spellEnd"/>
      <w:r>
        <w:t xml:space="preserve"> </w:t>
      </w:r>
    </w:p>
    <w:p w14:paraId="7C862B90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Biominerals</w:t>
      </w:r>
      <w:proofErr w:type="spellEnd"/>
      <w:r>
        <w:t xml:space="preserve"> and </w:t>
      </w:r>
      <w:proofErr w:type="spellStart"/>
      <w:r>
        <w:t>mineralized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</w:p>
    <w:p w14:paraId="42423FE1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Biostable</w:t>
      </w:r>
      <w:proofErr w:type="spellEnd"/>
      <w:r>
        <w:t xml:space="preserve"> </w:t>
      </w:r>
      <w:proofErr w:type="spellStart"/>
      <w:r>
        <w:t>ceramics</w:t>
      </w:r>
      <w:proofErr w:type="spellEnd"/>
      <w:r>
        <w:t xml:space="preserve"> </w:t>
      </w:r>
    </w:p>
    <w:p w14:paraId="02996B4A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Bioactive</w:t>
      </w:r>
      <w:proofErr w:type="spellEnd"/>
      <w:r>
        <w:t xml:space="preserve"> </w:t>
      </w:r>
      <w:proofErr w:type="spellStart"/>
      <w:r>
        <w:t>ceramics</w:t>
      </w:r>
      <w:proofErr w:type="spellEnd"/>
      <w:r>
        <w:t xml:space="preserve"> </w:t>
      </w:r>
    </w:p>
    <w:p w14:paraId="52B5B379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Composites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ceramic</w:t>
      </w:r>
      <w:proofErr w:type="spellEnd"/>
      <w:r>
        <w:t xml:space="preserve"> matrix </w:t>
      </w:r>
    </w:p>
    <w:p w14:paraId="1FB30EA4" w14:textId="77777777" w:rsidR="0047375C" w:rsidRDefault="005C2D19">
      <w:pPr>
        <w:numPr>
          <w:ilvl w:val="0"/>
          <w:numId w:val="1"/>
        </w:numPr>
        <w:ind w:hanging="360"/>
      </w:pPr>
      <w:proofErr w:type="spellStart"/>
      <w:r>
        <w:t>Bioactive</w:t>
      </w:r>
      <w:proofErr w:type="spellEnd"/>
      <w:r>
        <w:t xml:space="preserve"> </w:t>
      </w:r>
      <w:proofErr w:type="spellStart"/>
      <w:r>
        <w:t>coatings</w:t>
      </w:r>
      <w:proofErr w:type="spellEnd"/>
      <w:r>
        <w:t xml:space="preserve"> </w:t>
      </w:r>
    </w:p>
    <w:p w14:paraId="5E87E2AA" w14:textId="589BD1C0" w:rsidR="007D4704" w:rsidRPr="007071F7" w:rsidRDefault="007D4704">
      <w:pPr>
        <w:numPr>
          <w:ilvl w:val="0"/>
          <w:numId w:val="1"/>
        </w:numPr>
        <w:ind w:hanging="360"/>
        <w:rPr>
          <w:lang w:val="en-GB"/>
        </w:rPr>
      </w:pPr>
      <w:r w:rsidRPr="007071F7">
        <w:rPr>
          <w:lang w:val="en-GB"/>
        </w:rPr>
        <w:t xml:space="preserve">Methods of manufacturing </w:t>
      </w:r>
      <w:proofErr w:type="spellStart"/>
      <w:r w:rsidRPr="007071F7">
        <w:rPr>
          <w:lang w:val="en-GB"/>
        </w:rPr>
        <w:t>bioceramic</w:t>
      </w:r>
      <w:proofErr w:type="spellEnd"/>
      <w:r w:rsidR="007071F7" w:rsidRPr="007071F7">
        <w:rPr>
          <w:lang w:val="en-GB"/>
        </w:rPr>
        <w:t>, including 3D pr</w:t>
      </w:r>
      <w:r w:rsidR="007071F7">
        <w:rPr>
          <w:lang w:val="en-GB"/>
        </w:rPr>
        <w:t>inting technologies</w:t>
      </w:r>
    </w:p>
    <w:p w14:paraId="3345605A" w14:textId="1EE5B49E" w:rsidR="0047375C" w:rsidRDefault="005C2D19">
      <w:pPr>
        <w:numPr>
          <w:ilvl w:val="0"/>
          <w:numId w:val="1"/>
        </w:numPr>
        <w:ind w:hanging="360"/>
      </w:pPr>
      <w:r>
        <w:t>Applications</w:t>
      </w:r>
    </w:p>
    <w:p w14:paraId="76877220" w14:textId="75794901" w:rsidR="007D4704" w:rsidRDefault="007D4704">
      <w:pPr>
        <w:numPr>
          <w:ilvl w:val="0"/>
          <w:numId w:val="1"/>
        </w:numPr>
        <w:ind w:hanging="360"/>
      </w:pPr>
      <w:proofErr w:type="spellStart"/>
      <w:r>
        <w:t>Biomedical</w:t>
      </w:r>
      <w:proofErr w:type="spellEnd"/>
      <w:r>
        <w:t xml:space="preserve"> market</w:t>
      </w:r>
    </w:p>
    <w:p w14:paraId="078E2E12" w14:textId="77777777" w:rsidR="0047375C" w:rsidRDefault="005C2D19">
      <w:pPr>
        <w:spacing w:after="14" w:line="259" w:lineRule="auto"/>
        <w:ind w:left="0" w:firstLine="0"/>
        <w:jc w:val="left"/>
      </w:pPr>
      <w:r>
        <w:t xml:space="preserve"> </w:t>
      </w:r>
    </w:p>
    <w:p w14:paraId="748A260D" w14:textId="77777777" w:rsidR="0047375C" w:rsidRDefault="005C2D19">
      <w:pPr>
        <w:spacing w:after="30" w:line="259" w:lineRule="auto"/>
        <w:ind w:left="-5"/>
        <w:jc w:val="left"/>
      </w:pPr>
      <w:proofErr w:type="spellStart"/>
      <w:r>
        <w:rPr>
          <w:b/>
        </w:rPr>
        <w:t>Literature</w:t>
      </w:r>
      <w:proofErr w:type="spellEnd"/>
      <w:r>
        <w:rPr>
          <w:b/>
        </w:rPr>
        <w:t xml:space="preserve">: </w:t>
      </w:r>
    </w:p>
    <w:p w14:paraId="072ABBF2" w14:textId="59120A1E" w:rsidR="007071F7" w:rsidRPr="007071F7" w:rsidRDefault="007071F7">
      <w:pPr>
        <w:numPr>
          <w:ilvl w:val="0"/>
          <w:numId w:val="1"/>
        </w:numPr>
        <w:ind w:hanging="360"/>
        <w:rPr>
          <w:lang w:val="en-US"/>
        </w:rPr>
      </w:pPr>
      <w:r w:rsidRPr="007071F7">
        <w:rPr>
          <w:lang w:val="en-GB"/>
        </w:rPr>
        <w:t xml:space="preserve">Zhao, X.; Liu, J.; Li, L. Research Progress and Challenges in 3D Printing of </w:t>
      </w:r>
      <w:proofErr w:type="spellStart"/>
      <w:r w:rsidRPr="007071F7">
        <w:rPr>
          <w:lang w:val="en-GB"/>
        </w:rPr>
        <w:t>Bioceramics</w:t>
      </w:r>
      <w:proofErr w:type="spellEnd"/>
      <w:r w:rsidRPr="007071F7">
        <w:rPr>
          <w:lang w:val="en-GB"/>
        </w:rPr>
        <w:t xml:space="preserve"> and </w:t>
      </w:r>
      <w:proofErr w:type="spellStart"/>
      <w:r w:rsidRPr="007071F7">
        <w:rPr>
          <w:lang w:val="en-GB"/>
        </w:rPr>
        <w:t>Bioceramic</w:t>
      </w:r>
      <w:proofErr w:type="spellEnd"/>
      <w:r w:rsidRPr="007071F7">
        <w:rPr>
          <w:lang w:val="en-GB"/>
        </w:rPr>
        <w:t xml:space="preserve"> Matrix </w:t>
      </w:r>
      <w:r w:rsidRPr="00731180">
        <w:rPr>
          <w:lang w:val="en-GB"/>
        </w:rPr>
        <w:t>Composites. Biomimetics 2025, 10, 428.</w:t>
      </w:r>
    </w:p>
    <w:p w14:paraId="4B6E5BFA" w14:textId="1CFF3F43" w:rsidR="00B70C8D" w:rsidRDefault="00B70C8D">
      <w:pPr>
        <w:numPr>
          <w:ilvl w:val="0"/>
          <w:numId w:val="1"/>
        </w:numPr>
        <w:ind w:hanging="360"/>
        <w:rPr>
          <w:lang w:val="en-US"/>
        </w:rPr>
      </w:pPr>
      <w:r w:rsidRPr="007071F7">
        <w:rPr>
          <w:lang w:val="en-GB"/>
        </w:rPr>
        <w:t xml:space="preserve">Wibisono, Y.; Pratiwi, A.Y.; </w:t>
      </w:r>
      <w:proofErr w:type="spellStart"/>
      <w:r w:rsidRPr="007071F7">
        <w:rPr>
          <w:lang w:val="en-GB"/>
        </w:rPr>
        <w:t>Octaviani</w:t>
      </w:r>
      <w:proofErr w:type="spellEnd"/>
      <w:r w:rsidRPr="007071F7">
        <w:rPr>
          <w:lang w:val="en-GB"/>
        </w:rPr>
        <w:t xml:space="preserve">, C.A.; Fadilla, C.R.; </w:t>
      </w:r>
      <w:proofErr w:type="spellStart"/>
      <w:r w:rsidRPr="007071F7">
        <w:rPr>
          <w:lang w:val="en-GB"/>
        </w:rPr>
        <w:t>Noviyanto</w:t>
      </w:r>
      <w:proofErr w:type="spellEnd"/>
      <w:r w:rsidRPr="007071F7">
        <w:rPr>
          <w:lang w:val="en-GB"/>
        </w:rPr>
        <w:t xml:space="preserve">, A.; Taufik, E.; Uddin, M.K.H.; </w:t>
      </w:r>
      <w:proofErr w:type="spellStart"/>
      <w:r w:rsidRPr="007071F7">
        <w:rPr>
          <w:lang w:val="en-GB"/>
        </w:rPr>
        <w:t>Anugroho</w:t>
      </w:r>
      <w:proofErr w:type="spellEnd"/>
      <w:r w:rsidRPr="007071F7">
        <w:rPr>
          <w:lang w:val="en-GB"/>
        </w:rPr>
        <w:t xml:space="preserve">, F.; Rochman, N.T. Marine-Derived Biowaste Conversion into </w:t>
      </w:r>
      <w:proofErr w:type="spellStart"/>
      <w:r w:rsidRPr="007071F7">
        <w:rPr>
          <w:lang w:val="en-GB"/>
        </w:rPr>
        <w:t>Bioceramic</w:t>
      </w:r>
      <w:proofErr w:type="spellEnd"/>
      <w:r w:rsidRPr="007071F7">
        <w:rPr>
          <w:lang w:val="en-GB"/>
        </w:rPr>
        <w:t xml:space="preserve"> Membrane Materials: Contrasting of Hydroxyapatite Synthesis Methods. </w:t>
      </w:r>
      <w:r w:rsidRPr="00B70C8D">
        <w:rPr>
          <w:i/>
          <w:iCs/>
          <w:lang w:val="en-US"/>
        </w:rPr>
        <w:t>Molecules</w:t>
      </w:r>
      <w:r w:rsidRPr="00B70C8D">
        <w:rPr>
          <w:lang w:val="en-US"/>
        </w:rPr>
        <w:t> 2021, </w:t>
      </w:r>
      <w:r w:rsidRPr="00B70C8D">
        <w:rPr>
          <w:i/>
          <w:iCs/>
          <w:lang w:val="en-US"/>
        </w:rPr>
        <w:t>26</w:t>
      </w:r>
      <w:r w:rsidRPr="00B70C8D">
        <w:rPr>
          <w:lang w:val="en-US"/>
        </w:rPr>
        <w:t>, 6344.</w:t>
      </w:r>
    </w:p>
    <w:p w14:paraId="1CD4844D" w14:textId="3FB9869F" w:rsidR="00B70C8D" w:rsidRPr="00B70C8D" w:rsidRDefault="00B70C8D">
      <w:pPr>
        <w:numPr>
          <w:ilvl w:val="0"/>
          <w:numId w:val="1"/>
        </w:numPr>
        <w:ind w:hanging="360"/>
        <w:rPr>
          <w:lang w:val="en-US"/>
        </w:rPr>
      </w:pPr>
      <w:r w:rsidRPr="00B70C8D">
        <w:rPr>
          <w:lang w:val="en-US"/>
        </w:rPr>
        <w:t xml:space="preserve">Piconi, C.; </w:t>
      </w:r>
      <w:proofErr w:type="spellStart"/>
      <w:r w:rsidRPr="00B70C8D">
        <w:rPr>
          <w:lang w:val="en-US"/>
        </w:rPr>
        <w:t>Sprio</w:t>
      </w:r>
      <w:proofErr w:type="spellEnd"/>
      <w:r w:rsidRPr="00B70C8D">
        <w:rPr>
          <w:lang w:val="en-US"/>
        </w:rPr>
        <w:t xml:space="preserve">, S. Oxide </w:t>
      </w:r>
      <w:proofErr w:type="spellStart"/>
      <w:r w:rsidRPr="00B70C8D">
        <w:rPr>
          <w:lang w:val="en-US"/>
        </w:rPr>
        <w:t>Bioceramic</w:t>
      </w:r>
      <w:proofErr w:type="spellEnd"/>
      <w:r w:rsidRPr="00B70C8D">
        <w:rPr>
          <w:lang w:val="en-US"/>
        </w:rPr>
        <w:t xml:space="preserve"> Composites in Orthopedics and Dentistry. J. Compos. Sci. 2021, 5, 206. </w:t>
      </w:r>
    </w:p>
    <w:p w14:paraId="65D0935C" w14:textId="77974F31" w:rsidR="00B70C8D" w:rsidRDefault="00B70C8D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B70C8D">
        <w:rPr>
          <w:lang w:val="en-US"/>
        </w:rPr>
        <w:t>Tavoni</w:t>
      </w:r>
      <w:proofErr w:type="spellEnd"/>
      <w:r w:rsidRPr="00B70C8D">
        <w:rPr>
          <w:lang w:val="en-US"/>
        </w:rPr>
        <w:t xml:space="preserve">, M.; </w:t>
      </w:r>
      <w:proofErr w:type="spellStart"/>
      <w:r w:rsidRPr="00B70C8D">
        <w:rPr>
          <w:lang w:val="en-US"/>
        </w:rPr>
        <w:t>Dapporto</w:t>
      </w:r>
      <w:proofErr w:type="spellEnd"/>
      <w:r w:rsidRPr="00B70C8D">
        <w:rPr>
          <w:lang w:val="en-US"/>
        </w:rPr>
        <w:t xml:space="preserve">, M.; </w:t>
      </w:r>
      <w:proofErr w:type="spellStart"/>
      <w:r w:rsidRPr="00B70C8D">
        <w:rPr>
          <w:lang w:val="en-US"/>
        </w:rPr>
        <w:t>Tampieri</w:t>
      </w:r>
      <w:proofErr w:type="spellEnd"/>
      <w:r w:rsidRPr="00B70C8D">
        <w:rPr>
          <w:lang w:val="en-US"/>
        </w:rPr>
        <w:t xml:space="preserve">, A.; </w:t>
      </w:r>
      <w:proofErr w:type="spellStart"/>
      <w:r w:rsidRPr="00B70C8D">
        <w:rPr>
          <w:lang w:val="en-US"/>
        </w:rPr>
        <w:t>Sprio</w:t>
      </w:r>
      <w:proofErr w:type="spellEnd"/>
      <w:r w:rsidRPr="00B70C8D">
        <w:rPr>
          <w:lang w:val="en-US"/>
        </w:rPr>
        <w:t>, S. Bioactive Calcium Phosphate-Based Composites for Bone Regeneration. </w:t>
      </w:r>
      <w:r w:rsidRPr="00B70C8D">
        <w:rPr>
          <w:i/>
          <w:iCs/>
          <w:lang w:val="en-US"/>
        </w:rPr>
        <w:t>J. Compos. Sci.</w:t>
      </w:r>
      <w:r w:rsidRPr="00B70C8D">
        <w:rPr>
          <w:lang w:val="en-US"/>
        </w:rPr>
        <w:t> 2021, </w:t>
      </w:r>
      <w:r w:rsidRPr="00B70C8D">
        <w:rPr>
          <w:i/>
          <w:iCs/>
          <w:lang w:val="en-US"/>
        </w:rPr>
        <w:t>5</w:t>
      </w:r>
      <w:r w:rsidRPr="00B70C8D">
        <w:rPr>
          <w:lang w:val="en-US"/>
        </w:rPr>
        <w:t>, 227.</w:t>
      </w:r>
    </w:p>
    <w:p w14:paraId="02C6004B" w14:textId="2C95815E" w:rsidR="00B70C8D" w:rsidRPr="00B70C8D" w:rsidRDefault="00B70C8D">
      <w:pPr>
        <w:numPr>
          <w:ilvl w:val="0"/>
          <w:numId w:val="1"/>
        </w:numPr>
        <w:ind w:hanging="360"/>
        <w:rPr>
          <w:lang w:val="en-US"/>
        </w:rPr>
      </w:pPr>
      <w:r w:rsidRPr="00B70C8D">
        <w:rPr>
          <w:lang w:val="en-US"/>
        </w:rPr>
        <w:t xml:space="preserve">Abbas, Z.; </w:t>
      </w:r>
      <w:proofErr w:type="spellStart"/>
      <w:r w:rsidRPr="00B70C8D">
        <w:rPr>
          <w:lang w:val="en-US"/>
        </w:rPr>
        <w:t>Dapporto</w:t>
      </w:r>
      <w:proofErr w:type="spellEnd"/>
      <w:r w:rsidRPr="00B70C8D">
        <w:rPr>
          <w:lang w:val="en-US"/>
        </w:rPr>
        <w:t xml:space="preserve">, M.; </w:t>
      </w:r>
      <w:proofErr w:type="spellStart"/>
      <w:r w:rsidRPr="00B70C8D">
        <w:rPr>
          <w:lang w:val="en-US"/>
        </w:rPr>
        <w:t>Tampieri</w:t>
      </w:r>
      <w:proofErr w:type="spellEnd"/>
      <w:r w:rsidRPr="00B70C8D">
        <w:rPr>
          <w:lang w:val="en-US"/>
        </w:rPr>
        <w:t xml:space="preserve">, A.; </w:t>
      </w:r>
      <w:proofErr w:type="spellStart"/>
      <w:r w:rsidRPr="00B70C8D">
        <w:rPr>
          <w:lang w:val="en-US"/>
        </w:rPr>
        <w:t>Sprio</w:t>
      </w:r>
      <w:proofErr w:type="spellEnd"/>
      <w:r w:rsidRPr="00B70C8D">
        <w:rPr>
          <w:lang w:val="en-US"/>
        </w:rPr>
        <w:t xml:space="preserve">, S. Toughening of </w:t>
      </w:r>
      <w:proofErr w:type="spellStart"/>
      <w:r w:rsidRPr="00B70C8D">
        <w:rPr>
          <w:lang w:val="en-US"/>
        </w:rPr>
        <w:t>Bioceramic</w:t>
      </w:r>
      <w:proofErr w:type="spellEnd"/>
      <w:r w:rsidRPr="00B70C8D">
        <w:rPr>
          <w:lang w:val="en-US"/>
        </w:rPr>
        <w:t xml:space="preserve"> Composites for Bone Regeneration. </w:t>
      </w:r>
      <w:r w:rsidRPr="00B70C8D">
        <w:rPr>
          <w:i/>
          <w:iCs/>
          <w:lang w:val="en-US"/>
        </w:rPr>
        <w:t>J. Compos. Sci.</w:t>
      </w:r>
      <w:r w:rsidRPr="00B70C8D">
        <w:rPr>
          <w:lang w:val="en-US"/>
        </w:rPr>
        <w:t> 2021, </w:t>
      </w:r>
      <w:r w:rsidRPr="00B70C8D">
        <w:rPr>
          <w:i/>
          <w:iCs/>
          <w:lang w:val="en-US"/>
        </w:rPr>
        <w:t>5</w:t>
      </w:r>
      <w:r w:rsidRPr="00B70C8D">
        <w:rPr>
          <w:lang w:val="en-US"/>
        </w:rPr>
        <w:t>, 259. </w:t>
      </w:r>
    </w:p>
    <w:p w14:paraId="5B79C5ED" w14:textId="277EC9F5" w:rsidR="00B70C8D" w:rsidRPr="00B70C8D" w:rsidRDefault="00B70C8D" w:rsidP="00B70C8D">
      <w:pPr>
        <w:numPr>
          <w:ilvl w:val="0"/>
          <w:numId w:val="1"/>
        </w:numPr>
        <w:ind w:hanging="360"/>
        <w:rPr>
          <w:lang w:val="en-US"/>
        </w:rPr>
      </w:pPr>
      <w:r w:rsidRPr="007D4704">
        <w:rPr>
          <w:lang w:val="en-US"/>
        </w:rPr>
        <w:t>Hench</w:t>
      </w:r>
      <w:r>
        <w:rPr>
          <w:lang w:val="en-US"/>
        </w:rPr>
        <w:t>, L.L.</w:t>
      </w:r>
      <w:r w:rsidRPr="007D4704">
        <w:rPr>
          <w:lang w:val="en-US"/>
        </w:rPr>
        <w:t xml:space="preserve"> </w:t>
      </w:r>
      <w:r w:rsidRPr="00B70C8D">
        <w:rPr>
          <w:i/>
          <w:iCs/>
          <w:lang w:val="en-US"/>
        </w:rPr>
        <w:t xml:space="preserve">An Introduction to </w:t>
      </w:r>
      <w:proofErr w:type="spellStart"/>
      <w:r w:rsidRPr="00B70C8D">
        <w:rPr>
          <w:i/>
          <w:iCs/>
          <w:lang w:val="en-US"/>
        </w:rPr>
        <w:t>Bioceramics</w:t>
      </w:r>
      <w:proofErr w:type="spellEnd"/>
      <w:r w:rsidRPr="007D4704">
        <w:rPr>
          <w:lang w:val="en-US"/>
        </w:rPr>
        <w:t>: Second Edition, World Scientific Publishing Company</w:t>
      </w:r>
      <w:r>
        <w:rPr>
          <w:lang w:val="en-US"/>
        </w:rPr>
        <w:t>,</w:t>
      </w:r>
      <w:r w:rsidRPr="007D4704">
        <w:rPr>
          <w:lang w:val="en-US"/>
        </w:rPr>
        <w:t xml:space="preserve"> 2013</w:t>
      </w:r>
      <w:r>
        <w:rPr>
          <w:lang w:val="en-US"/>
        </w:rPr>
        <w:t>.</w:t>
      </w:r>
    </w:p>
    <w:p w14:paraId="0400E2EE" w14:textId="77777777" w:rsidR="0047375C" w:rsidRPr="007D4704" w:rsidRDefault="005C2D19">
      <w:pPr>
        <w:spacing w:after="0" w:line="259" w:lineRule="auto"/>
        <w:ind w:left="0" w:firstLine="0"/>
        <w:jc w:val="left"/>
        <w:rPr>
          <w:lang w:val="en-US"/>
        </w:rPr>
      </w:pPr>
      <w:r w:rsidRPr="007D4704">
        <w:rPr>
          <w:lang w:val="en-US"/>
        </w:rPr>
        <w:t xml:space="preserve"> </w:t>
      </w:r>
    </w:p>
    <w:tbl>
      <w:tblPr>
        <w:tblStyle w:val="TableGrid"/>
        <w:tblW w:w="9116" w:type="dxa"/>
        <w:tblInd w:w="0" w:type="dxa"/>
        <w:tblLook w:val="04A0" w:firstRow="1" w:lastRow="0" w:firstColumn="1" w:lastColumn="0" w:noHBand="0" w:noVBand="1"/>
      </w:tblPr>
      <w:tblGrid>
        <w:gridCol w:w="2833"/>
        <w:gridCol w:w="6283"/>
      </w:tblGrid>
      <w:tr w:rsidR="0047375C" w14:paraId="7408F7AD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10E6548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10504F90" w14:textId="4C5074AB" w:rsidR="0047375C" w:rsidRDefault="005C2D19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Lectures</w:t>
            </w:r>
            <w:proofErr w:type="spellEnd"/>
            <w:r>
              <w:t xml:space="preserve"> (</w:t>
            </w:r>
            <w:r w:rsidR="007D4704">
              <w:t>15</w:t>
            </w:r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)  </w:t>
            </w:r>
          </w:p>
        </w:tc>
      </w:tr>
      <w:tr w:rsidR="0047375C" w:rsidRPr="00121EC8" w14:paraId="01EB40F1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7129E6D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Assessment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40546D20" w14:textId="77777777" w:rsidR="0047375C" w:rsidRPr="007D4704" w:rsidRDefault="005C2D19">
            <w:pPr>
              <w:spacing w:after="0" w:line="259" w:lineRule="auto"/>
              <w:ind w:left="228" w:firstLine="0"/>
              <w:jc w:val="left"/>
              <w:rPr>
                <w:lang w:val="en-US"/>
              </w:rPr>
            </w:pPr>
            <w:r w:rsidRPr="007D4704">
              <w:rPr>
                <w:lang w:val="en-US"/>
              </w:rPr>
              <w:t>Attendance, activity, oral presentation, oral exam</w:t>
            </w:r>
            <w:r w:rsidRPr="007D4704">
              <w:rPr>
                <w:b/>
                <w:lang w:val="en-US"/>
              </w:rPr>
              <w:t xml:space="preserve"> </w:t>
            </w:r>
          </w:p>
        </w:tc>
      </w:tr>
      <w:tr w:rsidR="0047375C" w:rsidRPr="007071F7" w14:paraId="257DD99F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2708A3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Prerequisites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298319B4" w14:textId="77777777" w:rsidR="0047375C" w:rsidRPr="007D4704" w:rsidRDefault="005C2D19">
            <w:pPr>
              <w:spacing w:after="0" w:line="259" w:lineRule="auto"/>
              <w:ind w:left="0" w:right="59" w:firstLine="0"/>
              <w:jc w:val="right"/>
              <w:rPr>
                <w:lang w:val="en-US"/>
              </w:rPr>
            </w:pPr>
            <w:r w:rsidRPr="007D4704">
              <w:rPr>
                <w:lang w:val="en-US"/>
              </w:rPr>
              <w:t xml:space="preserve">At least one college level math, physics and chemistry course </w:t>
            </w:r>
          </w:p>
        </w:tc>
      </w:tr>
      <w:tr w:rsidR="0047375C" w14:paraId="1890C537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8126A52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target </w:t>
            </w:r>
            <w:proofErr w:type="spellStart"/>
            <w:r>
              <w:rPr>
                <w:b/>
              </w:rPr>
              <w:t>group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2585C985" w14:textId="2615BB5A" w:rsidR="0047375C" w:rsidRDefault="005C2D19">
            <w:pPr>
              <w:spacing w:after="0" w:line="259" w:lineRule="auto"/>
              <w:ind w:left="228" w:firstLine="0"/>
              <w:jc w:val="left"/>
            </w:pPr>
            <w:r>
              <w:t>Material</w:t>
            </w:r>
            <w:r w:rsidR="007071F7">
              <w:t>s</w:t>
            </w:r>
            <w:r>
              <w:t xml:space="preserve"> Engineering </w:t>
            </w:r>
          </w:p>
        </w:tc>
      </w:tr>
      <w:tr w:rsidR="0047375C" w:rsidRPr="007071F7" w14:paraId="0BA747E4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4EA96EA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Lecturer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36AC50DF" w14:textId="5A91CA96" w:rsidR="0047375C" w:rsidRPr="007071F7" w:rsidRDefault="005C2D19">
            <w:pPr>
              <w:spacing w:after="0" w:line="259" w:lineRule="auto"/>
              <w:ind w:left="228" w:firstLine="0"/>
              <w:jc w:val="left"/>
              <w:rPr>
                <w:lang w:val="en-GB"/>
              </w:rPr>
            </w:pPr>
            <w:r w:rsidRPr="007071F7">
              <w:rPr>
                <w:lang w:val="en-GB"/>
              </w:rPr>
              <w:t>Kinga Korniejenko, PhD</w:t>
            </w:r>
            <w:r w:rsidR="007071F7" w:rsidRPr="007071F7">
              <w:rPr>
                <w:lang w:val="en-GB"/>
              </w:rPr>
              <w:t>, DSc, Prof. of CUT</w:t>
            </w:r>
          </w:p>
        </w:tc>
      </w:tr>
      <w:tr w:rsidR="0047375C" w14:paraId="37D800C8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B7DB73E" w14:textId="77777777" w:rsidR="0047375C" w:rsidRDefault="005C2D19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person: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10EB8EF5" w14:textId="0477291C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 xml:space="preserve">Kinga Korniejenko e-mail: </w:t>
            </w:r>
            <w:r>
              <w:rPr>
                <w:sz w:val="21"/>
              </w:rPr>
              <w:t>kinga.korniejenko@pk.edu.pl</w:t>
            </w:r>
            <w:r>
              <w:t xml:space="preserve"> </w:t>
            </w:r>
          </w:p>
        </w:tc>
      </w:tr>
    </w:tbl>
    <w:p w14:paraId="74A2BFD6" w14:textId="77777777" w:rsidR="005C2D19" w:rsidRDefault="005C2D19"/>
    <w:sectPr w:rsidR="005C2D19">
      <w:pgSz w:w="11906" w:h="16838"/>
      <w:pgMar w:top="1418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24C6"/>
    <w:multiLevelType w:val="hybridMultilevel"/>
    <w:tmpl w:val="13EA65D6"/>
    <w:lvl w:ilvl="0" w:tplc="522E24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636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AD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5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2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C7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EF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87F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90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943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C"/>
    <w:rsid w:val="00121EC8"/>
    <w:rsid w:val="004674C0"/>
    <w:rsid w:val="0047375C"/>
    <w:rsid w:val="005C2D19"/>
    <w:rsid w:val="007071F7"/>
    <w:rsid w:val="00731180"/>
    <w:rsid w:val="007D4704"/>
    <w:rsid w:val="00B70C8D"/>
    <w:rsid w:val="00E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96E3"/>
  <w15:docId w15:val="{BD21BE93-2C29-407B-8517-2AAD9A3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B70C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70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1878</Characters>
  <Application>Microsoft Office Word</Application>
  <DocSecurity>0</DocSecurity>
  <Lines>58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</dc:creator>
  <cp:keywords/>
  <cp:lastModifiedBy>Kinga Korniejenko</cp:lastModifiedBy>
  <cp:revision>6</cp:revision>
  <dcterms:created xsi:type="dcterms:W3CDTF">2022-01-19T16:53:00Z</dcterms:created>
  <dcterms:modified xsi:type="dcterms:W3CDTF">2025-08-05T18:53:00Z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4377e143-d198-4ff5-ae6a-4ef7a0dc5529</vt:lpwstr>
  </property>
</Properties>
</file>